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6D" w:rsidRDefault="00934270">
      <w:pPr>
        <w:tabs>
          <w:tab w:val="center" w:pos="4252"/>
          <w:tab w:val="right" w:pos="8504"/>
        </w:tabs>
        <w:ind w:right="-195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PLANO DE INSPEÇÃO</w:t>
      </w:r>
    </w:p>
    <w:p w:rsidR="00B8296D" w:rsidRDefault="00B8296D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a"/>
        <w:tblW w:w="135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11204"/>
      </w:tblGrid>
      <w:tr w:rsidR="00B8296D">
        <w:tc>
          <w:tcPr>
            <w:tcW w:w="2370" w:type="dxa"/>
            <w:shd w:val="clear" w:color="auto" w:fill="CCCCCC"/>
          </w:tcPr>
          <w:p w:rsidR="00B8296D" w:rsidRDefault="0093427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204" w:type="dxa"/>
            <w:shd w:val="clear" w:color="auto" w:fill="auto"/>
          </w:tcPr>
          <w:p w:rsidR="00B8296D" w:rsidRDefault="00B8296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8296D">
        <w:trPr>
          <w:trHeight w:val="232"/>
        </w:trPr>
        <w:tc>
          <w:tcPr>
            <w:tcW w:w="2370" w:type="dxa"/>
            <w:shd w:val="clear" w:color="auto" w:fill="CCCCCC"/>
          </w:tcPr>
          <w:p w:rsidR="00B8296D" w:rsidRDefault="0093427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204" w:type="dxa"/>
            <w:shd w:val="clear" w:color="auto" w:fill="auto"/>
          </w:tcPr>
          <w:p w:rsidR="00B8296D" w:rsidRDefault="00B8296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B8296D" w:rsidRDefault="00B8296D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p w:rsidR="00B8296D" w:rsidRDefault="00B8296D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sdt>
      <w:sdtPr>
        <w:rPr>
          <w:rFonts w:ascii="Times New Roman" w:eastAsia="Times New Roman" w:hAnsi="Times New Roman" w:cs="Times New Roman"/>
          <w:sz w:val="24"/>
          <w:szCs w:val="24"/>
        </w:rPr>
        <w:tag w:val="goog_rdk_0"/>
        <w:id w:val="-587690656"/>
        <w:lock w:val="contentLocked"/>
      </w:sdtPr>
      <w:sdtEndPr/>
      <w:sdtContent>
        <w:tbl>
          <w:tblPr>
            <w:tblStyle w:val="afb"/>
            <w:tblW w:w="13574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2372"/>
            <w:gridCol w:w="1202"/>
          </w:tblGrid>
          <w:tr w:rsidR="00B8296D">
            <w:trPr>
              <w:trHeight w:val="400"/>
            </w:trPr>
            <w:tc>
              <w:tcPr>
                <w:tcW w:w="2431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EAD3"/>
              </w:tcPr>
              <w:p w:rsidR="00B8296D" w:rsidRDefault="00934270">
                <w:pPr>
                  <w:tabs>
                    <w:tab w:val="center" w:pos="4252"/>
                    <w:tab w:val="right" w:pos="8504"/>
                  </w:tabs>
                  <w:jc w:val="center"/>
                  <w:rPr>
                    <w:rFonts w:ascii="Arial" w:eastAsia="Arial" w:hAnsi="Arial" w:cs="Arial"/>
                    <w:b/>
                  </w:rPr>
                </w:pPr>
                <w:r>
                  <w:rPr>
                    <w:rFonts w:ascii="Arial" w:eastAsia="Arial" w:hAnsi="Arial" w:cs="Arial"/>
                    <w:b/>
                  </w:rPr>
                  <w:t>1. ENTENDIMENTO DO TEMA E DO OBJETO FISCALIZADO</w:t>
                </w:r>
              </w:p>
            </w:tc>
          </w:tr>
          <w:tr w:rsidR="00B8296D">
            <w:tc>
              <w:tcPr>
                <w:tcW w:w="243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CCCCC"/>
              </w:tcPr>
              <w:p w:rsidR="00B8296D" w:rsidRDefault="00934270">
                <w:pPr>
                  <w:tabs>
                    <w:tab w:val="center" w:pos="4252"/>
                    <w:tab w:val="right" w:pos="8504"/>
                  </w:tabs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Entendimento do tema e do objeto fiscalizado</w:t>
                </w:r>
              </w:p>
            </w:tc>
            <w:tc>
              <w:tcPr>
                <w:tcW w:w="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8296D" w:rsidRDefault="00934270">
                <w:pPr>
                  <w:tabs>
                    <w:tab w:val="center" w:pos="4252"/>
                    <w:tab w:val="right" w:pos="8504"/>
                  </w:tabs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(descrever o tema que envolve o objeto de fiscalização, isso inclui descrever brevemente os objetivos relevantes da entidade auditada, operações, ambiente regulatório, controles internos, o 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lastRenderedPageBreak/>
                  <w:t>sistema financeiro e outros sistemas e processos de negócio, que c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orroboram como fontes de evidência de auditoria - NBASP 100/45).</w:t>
                </w:r>
              </w:p>
              <w:p w:rsidR="00B8296D" w:rsidRDefault="00934270">
                <w:pPr>
                  <w:tabs>
                    <w:tab w:val="center" w:pos="4252"/>
                    <w:tab w:val="right" w:pos="8504"/>
                  </w:tabs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</w:p>
            </w:tc>
          </w:tr>
        </w:tbl>
      </w:sdtContent>
    </w:sdt>
    <w:p w:rsidR="00B8296D" w:rsidRDefault="00B8296D">
      <w:pPr>
        <w:tabs>
          <w:tab w:val="center" w:pos="4252"/>
          <w:tab w:val="right" w:pos="8504"/>
        </w:tabs>
        <w:rPr>
          <w:rFonts w:ascii="Arial" w:eastAsia="Arial" w:hAnsi="Arial" w:cs="Arial"/>
          <w:b/>
          <w:smallCaps/>
        </w:rPr>
      </w:pPr>
    </w:p>
    <w:p w:rsidR="00B8296D" w:rsidRDefault="00B8296D">
      <w:pPr>
        <w:rPr>
          <w:rFonts w:ascii="Arial" w:eastAsia="Arial" w:hAnsi="Arial" w:cs="Arial"/>
          <w:b/>
          <w:sz w:val="20"/>
          <w:szCs w:val="20"/>
        </w:rPr>
      </w:pPr>
    </w:p>
    <w:sdt>
      <w:sdtPr>
        <w:rPr>
          <w:rFonts w:ascii="Times New Roman" w:eastAsia="Times New Roman" w:hAnsi="Times New Roman" w:cs="Times New Roman"/>
        </w:rPr>
        <w:tag w:val="goog_rdk_1"/>
        <w:id w:val="55980589"/>
        <w:lock w:val="contentLocked"/>
      </w:sdtPr>
      <w:sdtEndPr/>
      <w:sdtContent>
        <w:tbl>
          <w:tblPr>
            <w:tblStyle w:val="afc"/>
            <w:tblW w:w="13545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0095"/>
            <w:gridCol w:w="1770"/>
            <w:gridCol w:w="1680"/>
          </w:tblGrid>
          <w:tr w:rsidR="00B8296D">
            <w:trPr>
              <w:trHeight w:val="400"/>
            </w:trPr>
            <w:tc>
              <w:tcPr>
                <w:tcW w:w="13545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EAD3"/>
              </w:tcPr>
              <w:p w:rsidR="00B8296D" w:rsidRDefault="00934270">
                <w:pPr>
                  <w:widowControl/>
                  <w:tabs>
                    <w:tab w:val="center" w:pos="4252"/>
                    <w:tab w:val="right" w:pos="8504"/>
                  </w:tabs>
                  <w:jc w:val="center"/>
                  <w:rPr>
                    <w:rFonts w:ascii="Arial" w:eastAsia="Arial" w:hAnsi="Arial" w:cs="Arial"/>
                    <w:b/>
                    <w:color w:val="1C4587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2"/>
                    <w:szCs w:val="22"/>
                  </w:rPr>
                  <w:t>2. AVALIAÇÃO DE RISCOS</w:t>
                </w:r>
              </w:p>
            </w:tc>
          </w:tr>
          <w:tr w:rsidR="00B8296D">
            <w:tc>
              <w:tcPr>
                <w:tcW w:w="100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p w:rsidR="00B8296D" w:rsidRDefault="00934270">
                <w:pPr>
                  <w:jc w:val="center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Descrição dos riscos e sua relação com o objeto</w:t>
                </w:r>
              </w:p>
            </w:tc>
            <w:tc>
              <w:tcPr>
                <w:tcW w:w="17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p w:rsidR="00B8296D" w:rsidRDefault="00934270">
                <w:pPr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Tipo de risco</w:t>
                </w:r>
              </w:p>
            </w:tc>
            <w:tc>
              <w:tcPr>
                <w:tcW w:w="16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p w:rsidR="00B8296D" w:rsidRDefault="00934270">
                <w:pPr>
                  <w:jc w:val="center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 xml:space="preserve">Avaliação </w:t>
                </w:r>
              </w:p>
            </w:tc>
          </w:tr>
          <w:tr w:rsidR="00B8296D">
            <w:tc>
              <w:tcPr>
                <w:tcW w:w="100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8296D" w:rsidRDefault="00934270">
                <w:pPr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1. (descrever cada risco identificado de maneira consistente, incluindo as principais razões e as consequências potenciais mais importantes. Assim, a descrição de um risco deve possuir a seguinte estrutura: </w:t>
                </w:r>
                <w:r>
                  <w:rPr>
                    <w:rFonts w:ascii="Arial" w:eastAsia="Arial" w:hAnsi="Arial" w:cs="Arial"/>
                    <w:b/>
                    <w:color w:val="FF0000"/>
                    <w:sz w:val="20"/>
                    <w:szCs w:val="20"/>
                  </w:rPr>
                  <w:t>causa + problema + impacto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)</w:t>
                </w:r>
              </w:p>
              <w:p w:rsidR="00B8296D" w:rsidRDefault="00B8296D">
                <w:pPr>
                  <w:widowControl/>
                  <w:tabs>
                    <w:tab w:val="center" w:pos="4252"/>
                    <w:tab w:val="right" w:pos="8504"/>
                  </w:tabs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</w:p>
              <w:p w:rsidR="00B8296D" w:rsidRDefault="00934270">
                <w:pPr>
                  <w:widowControl/>
                  <w:tabs>
                    <w:tab w:val="center" w:pos="4252"/>
                    <w:tab w:val="right" w:pos="8504"/>
                  </w:tabs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  <w:sz w:val="20"/>
                    <w:szCs w:val="20"/>
                  </w:rPr>
                  <w:t>Obs.: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 a natureza, e 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por conseguinte a forma de avaliação dos riscos variará de acordo com o objetivo da fiscalização, devem ser considerados e avaliados os riscos de fraude, deficiências, desvios ou distorções que possam ocorrer em relação ao objeto, de forma geral e específi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ca. Para tanto, devem ser descritos procedimentos utilizados para entendimento da entidade ou do programa e seu ambiente, incluindo os controles 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lastRenderedPageBreak/>
                  <w:t>internos relevantes, atuais de problemas ou desvios em relação ao que deveria ser ou é esperado, exame de indic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adores de problemas a fim de definir os objetivos da auditoria  - NBASP 100/46.</w:t>
                </w:r>
              </w:p>
            </w:tc>
            <w:tc>
              <w:tcPr>
                <w:tcW w:w="17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8296D" w:rsidRDefault="00934270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sdt>
                  <w:sdtPr>
                    <w:alias w:val="Tipo de Risco"/>
                    <w:id w:val="1649502332"/>
                    <w:dropDownList>
                      <w:listItem w:displayText="Selecione" w:value="Selecione"/>
                      <w:listItem w:displayText="Risco Inerente" w:value="Risco Inerente"/>
                      <w:listItem w:displayText="Risco de Controle" w:value="Risco de Controle"/>
                      <w:listItem w:displayText="Risco de Fraude" w:value="Risco de Fraude"/>
                      <w:listItem w:displayText="Risco de Detecção" w:value="Risco de Detecçã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Selecione</w:t>
                    </w:r>
                  </w:sdtContent>
                </w:sdt>
              </w:p>
            </w:tc>
            <w:tc>
              <w:tcPr>
                <w:tcW w:w="16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8296D" w:rsidRDefault="00934270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sdt>
                  <w:sdtPr>
                    <w:alias w:val="Avaliação"/>
                    <w:id w:val="1964318947"/>
                    <w:dropDownList>
                      <w:listItem w:displayText="Selecione" w:value="Selecione"/>
                      <w:listItem w:displayText="Alto" w:value="Alto"/>
                      <w:listItem w:displayText="Médio" w:value="Médio"/>
                      <w:listItem w:displayText="Baixo" w:value="Baix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z w:val="20"/>
                        <w:szCs w:val="20"/>
                        <w:shd w:val="clear" w:color="auto" w:fill="E8EAED"/>
                      </w:rPr>
                      <w:t>Selecione</w:t>
                    </w:r>
                  </w:sdtContent>
                </w:sdt>
              </w:p>
            </w:tc>
          </w:tr>
        </w:tbl>
      </w:sdtContent>
    </w:sdt>
    <w:p w:rsidR="00B8296D" w:rsidRDefault="00B8296D">
      <w:pPr>
        <w:tabs>
          <w:tab w:val="center" w:pos="4252"/>
          <w:tab w:val="right" w:pos="8504"/>
        </w:tabs>
        <w:rPr>
          <w:rFonts w:ascii="Arial" w:eastAsia="Arial" w:hAnsi="Arial" w:cs="Arial"/>
          <w:b/>
          <w:smallCaps/>
        </w:rPr>
      </w:pPr>
    </w:p>
    <w:tbl>
      <w:tblPr>
        <w:tblStyle w:val="afd"/>
        <w:tblW w:w="135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87"/>
        <w:gridCol w:w="8187"/>
      </w:tblGrid>
      <w:tr w:rsidR="00B8296D">
        <w:trPr>
          <w:trHeight w:val="400"/>
        </w:trPr>
        <w:tc>
          <w:tcPr>
            <w:tcW w:w="18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B8296D" w:rsidRDefault="00934270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3. ESTRATÉGIA</w:t>
            </w:r>
          </w:p>
        </w:tc>
      </w:tr>
      <w:tr w:rsidR="00B8296D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8296D" w:rsidRDefault="0093427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Objetivo(s) 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(determinar o que se pretende responder por meio da fiscalização, assegurando assertividade na formulação dos objetivos e identificação dos critérios. O objetivo da fiscalização deve ser alcançável e deve identificar o objeto, a entidade ou as atividades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fiscalização)</w:t>
            </w:r>
          </w:p>
        </w:tc>
      </w:tr>
      <w:tr w:rsidR="00B8296D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8296D" w:rsidRDefault="0093427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Escopo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(definir o escopo do objeto de forma a garantir cobertura suficiente para conduzir uma fiscalização significativa e agregar valor para os usuários previstos. O objeto deve ser identificável e avaliável em relação a critérios adequados. Por natureza, o obje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 deve permitir que o auditor forme uma conclusão com o nível exigido de asseguração. Já o escopo da fiscalização refere-se à área, extensão e período cobertos na fiscalização do objeto, envolve a redução do objeto da fiscalização a um número relativament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 menor de questões relevantes que estejam relacionadas ao objetivo da fiscalização e que possam ser inspecionadas com os recursos à disposição da equipe de fiscalização.)</w:t>
            </w:r>
          </w:p>
        </w:tc>
      </w:tr>
      <w:tr w:rsidR="00B8296D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8296D" w:rsidRDefault="0093427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Critério(s)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(Critérios são as referências usadas para avaliar o objeto. Podem ser 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specíficos ou mais gerais, e podem ser extraídos de várias fontes, incluindo leis, regulamentos, padrões, princípios sólidos e boas práticas.)</w:t>
            </w:r>
          </w:p>
        </w:tc>
      </w:tr>
      <w:tr w:rsidR="00B8296D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8296D" w:rsidRDefault="0093427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(a materialidade pode focar em fatores quantitativos, como o número de pessoas ou entidades afetad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as pelo objeto específico ou os valores monetários envolvidos, bem como no uso indevido de recursos públicos, independentemente do montante. Geralmente, nas inspeções, a materialidade é apresentada em termos de valor, mas a natureza ou as características 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nerentes de um item ou grupo de itens (fatores qualitativos) também podem tornar uma questão material)</w:t>
            </w:r>
          </w:p>
        </w:tc>
      </w:tr>
      <w:tr w:rsidR="00B8296D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8296D" w:rsidRDefault="0093427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Entidade(s) abrangida(s) 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a entidade a que o objeto se refere)</w:t>
            </w:r>
          </w:p>
        </w:tc>
      </w:tr>
      <w:tr w:rsidR="00B8296D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8296D" w:rsidRDefault="0093427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Tipo de trabalho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(especificar se é um trabalho de certificação ou de relatóri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 direto.)</w:t>
            </w:r>
          </w:p>
        </w:tc>
      </w:tr>
      <w:tr w:rsidR="00B8296D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8296D" w:rsidRDefault="0093427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Nível de asseguração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(especificar o nível de asseguração: se razoável ou limitada. Na maioria dos casos uma fiscalização é de asseguração razoável.)</w:t>
            </w:r>
          </w:p>
        </w:tc>
      </w:tr>
      <w:tr w:rsidR="00B8296D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8296D" w:rsidRDefault="0093427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Composição da equipe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(listar os membros da equipe, nomes e funções dos responsáveis pela fiscalização. Se houver necessidade, especificar os membros externos também)</w:t>
            </w:r>
          </w:p>
        </w:tc>
      </w:tr>
      <w:tr w:rsidR="00B8296D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8296D" w:rsidRDefault="0093427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Mecanismos de controle de qualidade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(descrição das etapas e mecanismos de controle de qualidade, considerando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o que foi estabelecido da Resolução Administrativa nº 13/2023, que institui o Sistema de Qualidade das Fiscalizações –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SiQ</w:t>
            </w:r>
            <w:proofErr w:type="spellEnd"/>
            <w: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no âmbito da Secretaria de Controle Externo do Tribunal de Contas do Estado de Goiás – TCE-GO.)</w:t>
            </w:r>
          </w:p>
        </w:tc>
      </w:tr>
      <w:tr w:rsidR="00B8296D"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8296D" w:rsidRDefault="0093427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Comunicação com a parte responsável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como e quando a equipe se comunicará com a parte responsável)</w:t>
            </w:r>
          </w:p>
        </w:tc>
      </w:tr>
      <w:tr w:rsidR="00B8296D">
        <w:trPr>
          <w:trHeight w:val="457"/>
        </w:trPr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8296D" w:rsidRDefault="0093427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Outros assuntos significativos, se houver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(para documentar a estratégia de fiscalização a equipe pode modificar este papel de trabalho considerando o contexto específico da fiscaliza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ção, o objeto, a complexidade e os critérios.)</w:t>
            </w:r>
          </w:p>
        </w:tc>
      </w:tr>
    </w:tbl>
    <w:p w:rsidR="00B8296D" w:rsidRDefault="00B8296D">
      <w:pPr>
        <w:rPr>
          <w:rFonts w:ascii="Arial" w:eastAsia="Arial" w:hAnsi="Arial" w:cs="Arial"/>
          <w:b/>
          <w:sz w:val="20"/>
          <w:szCs w:val="20"/>
        </w:rPr>
      </w:pPr>
    </w:p>
    <w:p w:rsidR="00B8296D" w:rsidRDefault="00B8296D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e"/>
        <w:tblW w:w="135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80"/>
        <w:gridCol w:w="2355"/>
        <w:gridCol w:w="2595"/>
        <w:gridCol w:w="1680"/>
        <w:gridCol w:w="1860"/>
        <w:gridCol w:w="1320"/>
        <w:gridCol w:w="1304"/>
      </w:tblGrid>
      <w:tr w:rsidR="00B8296D">
        <w:trPr>
          <w:trHeight w:val="400"/>
        </w:trPr>
        <w:tc>
          <w:tcPr>
            <w:tcW w:w="135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  <w:vAlign w:val="center"/>
          </w:tcPr>
          <w:p w:rsidR="00B8296D" w:rsidRDefault="00934270">
            <w:pPr>
              <w:widowControl w:val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mallCaps/>
              </w:rPr>
              <w:t>4. MATRIZ DE PLANEJAMENTO E PROCEDIMENTOS</w:t>
            </w:r>
          </w:p>
        </w:tc>
      </w:tr>
      <w:tr w:rsidR="00B8296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B8296D" w:rsidRDefault="00934270">
            <w:pPr>
              <w:ind w:left="-567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bookmarkStart w:id="1" w:name="_heading=h.labot9pmqpoi" w:colFirst="0" w:colLast="0"/>
            <w:bookmarkEnd w:id="1"/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QUESTÃO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B8296D" w:rsidRDefault="00934270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INFORMAÇÕES REQUERIDAS E FONTES DE INFORMAÇÃO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B8296D" w:rsidRDefault="00934270">
            <w:pPr>
              <w:ind w:right="14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DETALHAMENTO DO PROCEDIMENTO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B8296D" w:rsidRDefault="00934270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LIMITAÇÕES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B8296D" w:rsidRDefault="00934270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MEMBRO RESPONSÁVEL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B8296D" w:rsidRDefault="00934270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PERÍODO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B8296D" w:rsidRDefault="00934270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 QUE A ANÁLISE VAI PERMITIR DIZER</w:t>
            </w:r>
          </w:p>
        </w:tc>
      </w:tr>
      <w:tr w:rsidR="00B8296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296D" w:rsidRDefault="0093427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1.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Apresentar, em</w:t>
            </w:r>
          </w:p>
          <w:p w:rsidR="00B8296D" w:rsidRDefault="0093427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forma de perguntas (ou declarar as áreas de interesse), os diferentes aspectos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que compõem o escopo da fiscalização e</w:t>
            </w:r>
          </w:p>
          <w:p w:rsidR="00B8296D" w:rsidRDefault="0093427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que devem ser investigados com vistas à satisfação do objetivo.</w:t>
            </w:r>
          </w:p>
          <w:p w:rsidR="00B8296D" w:rsidRDefault="00B8296D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B8296D" w:rsidRDefault="00B8296D">
            <w:pPr>
              <w:jc w:val="both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  <w:p w:rsidR="00B8296D" w:rsidRDefault="00B8296D">
            <w:pPr>
              <w:jc w:val="both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296D" w:rsidRDefault="0093427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 xml:space="preserve">Detalhar os documentos e/ou dados que a equipe entende suficiente e apropriada para responder às questões,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acompanhados da respectiva fonte de informação.</w:t>
            </w:r>
          </w:p>
          <w:p w:rsidR="00B8296D" w:rsidRDefault="00B8296D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B8296D" w:rsidRDefault="0093427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Geralmente, as fontes são a(s) pessoa(s), físicas ou jurídicas, e os setores que fornecerão as infor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mações requeridas, bem como os documentos, bancos de dados ou os sistemas de informação de onde as mesmas serão retiradas.</w:t>
            </w:r>
          </w:p>
          <w:p w:rsidR="00B8296D" w:rsidRDefault="00B8296D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B8296D" w:rsidRDefault="0093427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: Todas as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  <w:u w:val="single"/>
              </w:rPr>
              <w:t>informações requeridas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“O que a análise vai permitir dizer”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para que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seja possível identificar quais as informações serão necessárias para responder àquelas questões.</w:t>
            </w:r>
          </w:p>
          <w:p w:rsidR="00B8296D" w:rsidRDefault="00B8296D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B8296D" w:rsidRDefault="00B8296D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296D" w:rsidRDefault="00934270">
            <w:pPr>
              <w:jc w:val="both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 xml:space="preserve">Relacionar as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técnicas de coleta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dos dados que serão analisados, bem como os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 xml:space="preserve">métodos e técnicas de análise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desses mesmos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dados, sempre buscando responder ao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s aspectos constantes da questão de auditoria.</w:t>
            </w:r>
          </w:p>
          <w:p w:rsidR="00B8296D" w:rsidRDefault="00B8296D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B8296D" w:rsidRDefault="0093427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: Todos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  <w:u w:val="single"/>
              </w:rPr>
              <w:t>os procedimentos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“O que a análise vai permitir dizer”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para que seja possível identificar quais serão necessários para responder àquelas questões.</w:t>
            </w:r>
          </w:p>
          <w:p w:rsidR="00B8296D" w:rsidRDefault="00B8296D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296D" w:rsidRDefault="00934270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D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escrever as limitações inerentes à condução dos trabalhos.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Exs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.: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dificuldade de acesso aos documentos ou banco de dados</w:t>
            </w:r>
          </w:p>
          <w:p w:rsidR="00B8296D" w:rsidRDefault="00B8296D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B8296D" w:rsidRDefault="00934270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Obs.: Impedimentos que possam ser resolvidos pela equipe mediante solicitações de auditoria não são limitações. Caso as solicitações nã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 sejam atendidas, a equipe deve avaliar se o “impedimento” não é, de fato, um achado de auditoria.</w:t>
            </w:r>
          </w:p>
          <w:p w:rsidR="00B8296D" w:rsidRDefault="00934270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Ex.:</w:t>
            </w:r>
          </w:p>
          <w:p w:rsidR="00B8296D" w:rsidRDefault="00934270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A inexistência de documentos que justifiquem alterações em contratos, contratos de repasse, convênios...</w:t>
            </w:r>
          </w:p>
          <w:p w:rsidR="00B8296D" w:rsidRDefault="00B8296D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296D" w:rsidRDefault="00934270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Pessoa(s) da equipe encarregada(s) da execuçã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 de cada procedimento.</w:t>
            </w:r>
          </w:p>
          <w:p w:rsidR="00B8296D" w:rsidRDefault="00B8296D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B8296D" w:rsidRDefault="00934270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: Na coluna membro responsável deverá ser referenciado o número do procedimento pelo qual cada analista será responsável (P1. P2. P3 </w:t>
            </w:r>
            <w:proofErr w:type="gram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etc..</w:t>
            </w:r>
            <w:proofErr w:type="gram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)</w:t>
            </w:r>
          </w:p>
          <w:p w:rsidR="00B8296D" w:rsidRDefault="00B8296D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296D" w:rsidRDefault="00934270">
            <w:pPr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Período em que o procedimento será executado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296D" w:rsidRDefault="00934270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Esclarecer quais as conclusões ou resultados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que podem ser alcançados ao final da análise, atentando para os objetivos do trabalho.</w:t>
            </w:r>
          </w:p>
          <w:p w:rsidR="00B8296D" w:rsidRDefault="00934270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1.a)</w:t>
            </w:r>
          </w:p>
          <w:p w:rsidR="00B8296D" w:rsidRDefault="00934270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1.b)</w:t>
            </w:r>
          </w:p>
          <w:p w:rsidR="00B8296D" w:rsidRDefault="00934270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1.c)</w:t>
            </w:r>
          </w:p>
        </w:tc>
      </w:tr>
      <w:tr w:rsidR="00B8296D">
        <w:tc>
          <w:tcPr>
            <w:tcW w:w="2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B8296D" w:rsidRDefault="00B8296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1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B8296D" w:rsidRDefault="00B8296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296D"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8296D" w:rsidRDefault="00934270">
            <w:pPr>
              <w:spacing w:before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296D" w:rsidRDefault="00B8296D">
            <w:pPr>
              <w:spacing w:before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8296D">
        <w:tc>
          <w:tcPr>
            <w:tcW w:w="135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296D" w:rsidRDefault="00934270">
            <w:pPr>
              <w:spacing w:before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EQUIPE:</w:t>
            </w:r>
          </w:p>
          <w:p w:rsidR="00B8296D" w:rsidRDefault="0093427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B8296D" w:rsidRDefault="0093427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B8296D" w:rsidRDefault="00934270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B8296D" w:rsidRDefault="00B8296D">
      <w:pPr>
        <w:rPr>
          <w:rFonts w:ascii="Arial" w:eastAsia="Arial" w:hAnsi="Arial" w:cs="Arial"/>
          <w:b/>
          <w:color w:val="1C4587"/>
          <w:sz w:val="20"/>
          <w:szCs w:val="20"/>
        </w:rPr>
        <w:sectPr w:rsidR="00B8296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5840" w:h="12240" w:orient="landscape"/>
          <w:pgMar w:top="1133" w:right="1133" w:bottom="1133" w:left="1133" w:header="709" w:footer="709" w:gutter="0"/>
          <w:pgNumType w:start="1"/>
          <w:cols w:space="720"/>
        </w:sectPr>
      </w:pPr>
    </w:p>
    <w:p w:rsidR="00B8296D" w:rsidRDefault="00934270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do Plano de Inspeção</w:t>
      </w:r>
    </w:p>
    <w:p w:rsidR="00B8296D" w:rsidRDefault="00B8296D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ff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B8296D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296D" w:rsidRDefault="0093427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296D" w:rsidRDefault="0093427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deste papel de trabalho é elaborar o plano da fiscalização, contendo informações sobre o entendimento do tema e do objeto fiscalizado; a avaliação de ri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scos; a estratégia da fiscalização; e a respectiva matriz procedimentos. 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8296D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296D" w:rsidRDefault="0093427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296D" w:rsidRDefault="0093427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100/25-33, 38-48</w:t>
            </w:r>
          </w:p>
        </w:tc>
      </w:tr>
      <w:tr w:rsidR="00B8296D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296D" w:rsidRDefault="0093427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296D" w:rsidRDefault="00B8296D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 ENTENDIMENTO DO TEMA E DO OBJETO FISCALIZADO (NBASP 100/45)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B8296D" w:rsidRDefault="00934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auditor deve descrever como se obteve previamente o entendimento do jurisdicionado e do seu ambiente com objetivo de avaliar os riscos de desconformidades nas suas operações, atividades financeiras, etc.</w:t>
            </w:r>
          </w:p>
          <w:p w:rsidR="00B8296D" w:rsidRDefault="00934270">
            <w:pPr>
              <w:tabs>
                <w:tab w:val="center" w:pos="4252"/>
                <w:tab w:val="right" w:pos="8504"/>
              </w:tabs>
              <w:spacing w:before="240" w:after="2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Entre outros aspectos, a equipe de fiscalização de</w:t>
            </w:r>
            <w:r>
              <w:rPr>
                <w:rFonts w:ascii="Arial" w:eastAsia="Arial" w:hAnsi="Arial" w:cs="Arial"/>
                <w:sz w:val="18"/>
                <w:szCs w:val="18"/>
              </w:rPr>
              <w:t>ve discorrer sobre a legislação que regulamenta a entidade e, se cabível, aspectos organizacionais, tais como estrutura orgânica, missão, visão, valores, competências e atribuições, assim como seus objetivos e estratégias, fluxos/processos de negócio, indi</w:t>
            </w:r>
            <w:r>
              <w:rPr>
                <w:rFonts w:ascii="Arial" w:eastAsia="Arial" w:hAnsi="Arial" w:cs="Arial"/>
                <w:sz w:val="18"/>
                <w:szCs w:val="18"/>
              </w:rPr>
              <w:t>cadores, relatórios, e/ou políticas específicas que devam ser consideradas na identificação de riscos de não conformidades, inclusive, programas e projetos constantes em Plano Plurianual (PPA) e Lei Orçamentária Anual (LOA).</w:t>
            </w:r>
          </w:p>
          <w:p w:rsidR="00B8296D" w:rsidRDefault="009342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entendimento da entidade pode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ser originado a partir de técnicas de coleta de dados, como entrevistas, observação e de procedimentos analíticos. A escolha de qual procedimento utilizar e a extensão da sua aplicação depende de julgamento profissional do auditor sobre o alcance e a prof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undidade do entendimento necessário em cada fiscalização. 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2. AVALIAÇÃO DE RISCOS (NBASP 100/40; 46-47)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Essa avaliação deve abranger simultaneamente a identificação de riscos inerentes, de controle e de fraude. Durante a fiscalização, o registro dos risc</w:t>
            </w:r>
            <w:r>
              <w:rPr>
                <w:rFonts w:ascii="Arial" w:eastAsia="Arial" w:hAnsi="Arial" w:cs="Arial"/>
                <w:sz w:val="18"/>
                <w:szCs w:val="18"/>
              </w:rPr>
              <w:t>os deve ser atualizado com base em novos riscos identificados, sem ter que passar pelo processo inteiro novamente. A equipe deve registrar os riscos identificados em diferentes áreas, bem como sua relação com o objeto da fiscalização e com as áreas relevan</w:t>
            </w:r>
            <w:r>
              <w:rPr>
                <w:rFonts w:ascii="Arial" w:eastAsia="Arial" w:hAnsi="Arial" w:cs="Arial"/>
                <w:sz w:val="18"/>
                <w:szCs w:val="18"/>
              </w:rPr>
              <w:t>tes às quais os riscos estão relacionados, e ainda, o grau avaliado (alto, baixo, médio), seu impacto e probabilidade de sua ocorrência.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avaliação de riscos pode considerar a eficácia dos controles internos eventualmente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existentes,  a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depender do tipo </w:t>
            </w:r>
            <w:r>
              <w:rPr>
                <w:rFonts w:ascii="Arial" w:eastAsia="Arial" w:hAnsi="Arial" w:cs="Arial"/>
                <w:sz w:val="18"/>
                <w:szCs w:val="18"/>
              </w:rPr>
              <w:t>e escopo da fiscalização, de forma qualitativa, quantitativa ou ambas. Isso envolve a identificação de possíveis falhas em prevenir ou detectar não conformidades e má gestão. Modelos orientativos podem ser utilizados e adaptados conforme necessário. Riscos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 fraude potenciais podem ser identificados pelos mais diversos instrumentos, por exemplo,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brainstorming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entrevistas e análises, devendo ser priorizados com base em impacto financeiro 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reputacional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 ações legais, conformidade regulatória, integridade d</w:t>
            </w:r>
            <w:r>
              <w:rPr>
                <w:rFonts w:ascii="Arial" w:eastAsia="Arial" w:hAnsi="Arial" w:cs="Arial"/>
                <w:sz w:val="18"/>
                <w:szCs w:val="18"/>
              </w:rPr>
              <w:t>e dados, perda de ativos, localização, cultura organizacional, rotatividade de pessoal, liquidez de ativos, volume de transações e terceirização.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  <w:p w:rsidR="00B8296D" w:rsidRDefault="00B8296D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 ESTRATÉGIA (NBASP 100/25-28; 48)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estratégia de fiscalização deve ser preenchida informando detalhes das decisões gerais sobre a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fiscalização  tomadas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sobre cada elemento estratégico mencionado na coluna 1, adicionar comentários sobre os aspectos que irão ter qualquer impacto no planejam</w:t>
            </w:r>
            <w:r>
              <w:rPr>
                <w:rFonts w:ascii="Arial" w:eastAsia="Arial" w:hAnsi="Arial" w:cs="Arial"/>
                <w:sz w:val="18"/>
                <w:szCs w:val="18"/>
              </w:rPr>
              <w:t>ento ou condução das etapas da fiscalização. Esses elementos podem incluir: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lastRenderedPageBreak/>
              <w:t>a) o(s) objetivo(s), o objeto, o escopo, a materialidade, os critérios e parte(s) responsável(eis) (NBASP 100/25-28; 41);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 objetivos referem-se àquilo que a fiscalização preten</w:t>
            </w:r>
            <w:r>
              <w:rPr>
                <w:rFonts w:ascii="Arial" w:eastAsia="Arial" w:hAnsi="Arial" w:cs="Arial"/>
                <w:sz w:val="18"/>
                <w:szCs w:val="18"/>
              </w:rPr>
              <w:t>de alcançar.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escopo refere-se ao objeto e aos critérios que a equipe de fiscalização utilizará para avaliar e relatar acerca do objeto, e está diretamente relacionado com os objetivos. Na fiscalização, ao contrário do que ocorre com o objeto, o escopo a</w:t>
            </w:r>
            <w:r>
              <w:rPr>
                <w:rFonts w:ascii="Arial" w:eastAsia="Arial" w:hAnsi="Arial" w:cs="Arial"/>
                <w:sz w:val="18"/>
                <w:szCs w:val="18"/>
              </w:rPr>
              <w:t>caba sendo determinado pela Equipe de Fiscalização, que poderá, quando for o caso, delimitar o objeto e o que será fiscalizado. De toda forma, o escopo depende das necessidades do(s) usuário(s) previsto(s), para quem o auditor prepara o relatório de fiscal</w:t>
            </w:r>
            <w:r>
              <w:rPr>
                <w:rFonts w:ascii="Arial" w:eastAsia="Arial" w:hAnsi="Arial" w:cs="Arial"/>
                <w:sz w:val="18"/>
                <w:szCs w:val="18"/>
              </w:rPr>
              <w:t>ização (órgãos legislativos ou de controle, os responsáveis pela governança, o Ministério Público ou o público em geral); do nível da asseguração decidido, razoável ou limitada; de eventuais riscos já identificados; da competência e dos recursos disponívei</w:t>
            </w:r>
            <w:r>
              <w:rPr>
                <w:rFonts w:ascii="Arial" w:eastAsia="Arial" w:hAnsi="Arial" w:cs="Arial"/>
                <w:sz w:val="18"/>
                <w:szCs w:val="18"/>
              </w:rPr>
              <w:t>s para realização do trabalho, entre outros.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materialidade é frequentemente considerada em termos de valor, mas pode abranger outros aspectos quantitativos e qualitativos, e é aplicada pela equipe de fiscalização nas fases de planejamento e execução da </w:t>
            </w:r>
            <w:r>
              <w:rPr>
                <w:rFonts w:ascii="Arial" w:eastAsia="Arial" w:hAnsi="Arial" w:cs="Arial"/>
                <w:sz w:val="18"/>
                <w:szCs w:val="18"/>
              </w:rPr>
              <w:t>fiscalização. Na fase de planejamento, a materialidade ajuda na determinação do escopo, com a identificação das questões mais importantes para o(s) usuário(s) previsto(s), e na definição dos procedimentos relacionados a cada um dos aspectos a serem investi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gados. Ao realizar a fiscalização, a equipe usa a materialidade para decidir sobre a extensão dos procedimentos a serem executados, na avaliação das evidências coletadas, se suficientes e apropriadas para formar uma conclusão, e para avaliar os resultados </w:t>
            </w:r>
            <w:r>
              <w:rPr>
                <w:rFonts w:ascii="Arial" w:eastAsia="Arial" w:hAnsi="Arial" w:cs="Arial"/>
                <w:sz w:val="18"/>
                <w:szCs w:val="18"/>
              </w:rPr>
              <w:t>da fiscalização, sintetizados, no respectivo relatório de fiscalização, na forma de achados. Determinar a materialidade é uma questão de julgamento profissional e depende da interpretação da equipe de fiscalização acerca das necessidades dos usuários. Esse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julgamento pode se relacionar a um item individual ou a um grupo de itens, tomados em conjunto, cujas características podem tornar uma questão material por sua própria natureza ou por causa do contexto em que ela ocorre.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Critérios são as referências usad</w:t>
            </w:r>
            <w:r>
              <w:rPr>
                <w:rFonts w:ascii="Arial" w:eastAsia="Arial" w:hAnsi="Arial" w:cs="Arial"/>
                <w:sz w:val="18"/>
                <w:szCs w:val="18"/>
              </w:rPr>
              <w:t>as para avaliar o objeto. Cada fiscalização deve ter critérios adequados às circunstâncias daquela fiscalização. Para serem adequados, os critérios de auditoria de conformidade devem ser relevantes, confiáveis, completos, objetivos, compreensíveis, compará</w:t>
            </w:r>
            <w:r>
              <w:rPr>
                <w:rFonts w:ascii="Arial" w:eastAsia="Arial" w:hAnsi="Arial" w:cs="Arial"/>
                <w:sz w:val="18"/>
                <w:szCs w:val="18"/>
              </w:rPr>
              <w:t>veis, aceitáveis e disponíveis. Critérios podem ser específicos ou mais gerais, e podem ser extraídos de várias fontes, incluindo leis, regulamentos, padrões, princípios sólidos e boas práticas. Os critérios devem estar disponíveis para os usuários previst</w:t>
            </w:r>
            <w:r>
              <w:rPr>
                <w:rFonts w:ascii="Arial" w:eastAsia="Arial" w:hAnsi="Arial" w:cs="Arial"/>
                <w:sz w:val="18"/>
                <w:szCs w:val="18"/>
              </w:rPr>
              <w:t>os para lhes permitir entender como o objeto foi avaliado ou mensurado. Nas inspeções com relatório direto, o auditor deve se certificar da existência de critérios correspondentes, sendo que objetos e os critérios relevantes podem já estar definidos pela l</w:t>
            </w:r>
            <w:r>
              <w:rPr>
                <w:rFonts w:ascii="Arial" w:eastAsia="Arial" w:hAnsi="Arial" w:cs="Arial"/>
                <w:sz w:val="18"/>
                <w:szCs w:val="18"/>
              </w:rPr>
              <w:t>egislação. Em trabalhos de certificação, os critérios são fornecidos implicitamente por meio da apresentação de informações sobre o objeto (elaboradas com base nos próprios critérios). Nesse caso, o auditor precisa apresentar sua conclusão sobre a correção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dos critérios implícitos nas informações sobre o objeto.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Entidade(s) abrangida(s) pela fiscalização (parte responsável) é a organização responsável pela elaboração da informação sobre o objeto, pela gestão do objeto ou por atender recomendações acerca do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objeto. Ou seja, geralmente, o órgão jurisdicionado a que se refere o objeto fiscalizado.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b) o tipo de trabalho (trabalho de certificação ou trabalho de relatório direto)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z w:val="18"/>
                <w:szCs w:val="18"/>
              </w:rPr>
              <w:t>NBASP 100/29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;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Em uma fiscalização de relatório direto, a equipe determina o obje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to e os critérios e mensura ou avalia o objeto com base nos critérios e forma, então, uma conclusão, </w:t>
            </w: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expressa na forma de achados, respostas a questões específicas, recomendações ou uma opinião. Nesse tipo de trabalho, a equipe é a responsável por produzir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a informação.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Em uma fiscalização de certificação, a parte responsável é quem mensura o objeto em relação aos critérios e apresenta a informação do objeto, sobre a qual a equipe então obtém evidência suficiente e apropriada para formar uma conclusão, expressa na forma d</w:t>
            </w:r>
            <w:r>
              <w:rPr>
                <w:rFonts w:ascii="Arial" w:eastAsia="Arial" w:hAnsi="Arial" w:cs="Arial"/>
                <w:sz w:val="18"/>
                <w:szCs w:val="18"/>
              </w:rPr>
              <w:t>e achados, conclusões, recomendações ou uma opinião.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c) o nível de asseguração a ser fornecido - razoável ou </w:t>
            </w:r>
            <w:proofErr w:type="gramStart"/>
            <w:r>
              <w:rPr>
                <w:rFonts w:ascii="Arial" w:eastAsia="Arial" w:hAnsi="Arial" w:cs="Arial"/>
                <w:i/>
                <w:sz w:val="18"/>
                <w:szCs w:val="18"/>
              </w:rPr>
              <w:t>limitada  (</w:t>
            </w:r>
            <w:proofErr w:type="gramEnd"/>
            <w:r>
              <w:rPr>
                <w:rFonts w:ascii="Arial" w:eastAsia="Arial" w:hAnsi="Arial" w:cs="Arial"/>
                <w:i/>
                <w:sz w:val="18"/>
                <w:szCs w:val="18"/>
              </w:rPr>
              <w:t>NBASP 100/31-33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: 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asseguração razoável é alta, mas não absoluta. A conclusão é expressa positivamente, transmitindo que, na opinião da equipe, o objeto está ou não em conformidade em todos os aspectos relevantes, ou, quando for o caso, que a informação do objeto fornece u</w:t>
            </w:r>
            <w:r>
              <w:rPr>
                <w:rFonts w:ascii="Arial" w:eastAsia="Arial" w:hAnsi="Arial" w:cs="Arial"/>
                <w:sz w:val="18"/>
                <w:szCs w:val="18"/>
              </w:rPr>
              <w:t>ma visão verdadeira e justa, de acordo com os critérios aplicáveis. Normalmente a asseguração razoável exigirá mais evidências do que uma asseguração limitada, o que muitas vezes significa procedimentos mais extensos.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Na asseguração limitada, a conclusão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afirma que, com base nos procedimentos realizados, nada veio ao conhecimento da equipe para fazê-la acreditar que o objeto não está em conformidade com os critérios aplicáveis. No entanto, se a equipe acreditar que o objeto não está em conformidade com os </w:t>
            </w:r>
            <w:r>
              <w:rPr>
                <w:rFonts w:ascii="Arial" w:eastAsia="Arial" w:hAnsi="Arial" w:cs="Arial"/>
                <w:sz w:val="18"/>
                <w:szCs w:val="18"/>
              </w:rPr>
              <w:t>critérios, ela deve realizar procedimentos limitados para concluir se o objeto está ou não em conformidade com os critérios.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d) a composição da equipe de fiscalização (NBASP 100/39);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Relacionar os membros da equipe, com os nomes e respectivas funções dos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responsáveis pela fiscalização. Quando for o caso, também informar os servidores de apoio técnico e assessoramento eventualmente designados para prestarem auxílio nas atividades diversas do trabalho, bem como de outros profissionais especializados não per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tencentes aos quadros do TCE-GO, a exemplo da contratação de especialistas ou da cooperação e colaboração com outros órgãos e entidades nos casos em que a fiscalização exija técnicas especializadas, métodos ou competências específicas que não se encontram </w:t>
            </w:r>
            <w:r>
              <w:rPr>
                <w:rFonts w:ascii="Arial" w:eastAsia="Arial" w:hAnsi="Arial" w:cs="Arial"/>
                <w:sz w:val="18"/>
                <w:szCs w:val="18"/>
              </w:rPr>
              <w:t>disponíveis no corpo técnico do Tribunal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e) comunicação com a parte responsável (NBASP 100/43);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Identificar as responsabilidades de comunicação de cada membro da equipe de fiscalização, bem como para quem e quando tal comunicação ocorrerá e de que forma.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f) mecanismos de controle de qualidade da fiscalização (NBASP 100/38):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Realizado conforme o Sistema de Qualidade das Fiscalizações –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SiQ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(Resolução Administrativa nº 13/2023), atentando-se para o disposto no Manual do Sistema de Qualidade das Fiscalizaç</w:t>
            </w:r>
            <w:r>
              <w:rPr>
                <w:rFonts w:ascii="Arial" w:eastAsia="Arial" w:hAnsi="Arial" w:cs="Arial"/>
                <w:sz w:val="18"/>
                <w:szCs w:val="18"/>
              </w:rPr>
              <w:t>ões do Controle Externo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estratégia de fiscalização pode ser adaptada, e até mesmo outros elementos que a equipe considerar necessários, podendo, inclusive, ser padronizada para trabalhos repetitivos conforme o caso.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4. MATRIZ DE PROCEDIMENTOS (NBASP 1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00/44-48)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desta seção do plano de trabalho é possibilitar que os auditores planejem seu trabalho e assegurar que a fiscalização seja conduzida de uma maneira eficiente e eficaz;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Operacionalmente, o planejamento implica estabelecer um cronograma para a fiscalização e a definir a natureza, época e extensão dos procedimentos a serem realizados. O planejamento da fiscalização deve ser responsivo a mudanças significativas nas circunstâ</w:t>
            </w:r>
            <w:r>
              <w:rPr>
                <w:rFonts w:ascii="Arial" w:eastAsia="Arial" w:hAnsi="Arial" w:cs="Arial"/>
                <w:sz w:val="18"/>
                <w:szCs w:val="18"/>
              </w:rPr>
              <w:t>ncias e condições. É um processo iterativo que ocorre ao longo de todo o trabalho.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equipe deve elaborar a Matriz de Planejamento e Procedimentos, documento no qual devem ser selecionadas, de maneira prévia, as áreas ou questões mais relevantes e registr</w:t>
            </w:r>
            <w:r>
              <w:rPr>
                <w:rFonts w:ascii="Arial" w:eastAsia="Arial" w:hAnsi="Arial" w:cs="Arial"/>
                <w:sz w:val="18"/>
                <w:szCs w:val="18"/>
              </w:rPr>
              <w:t>ados os passos a serem realizados na fase de execução para que o objetivo da fiscalização seja alcançado. É parte da realização da matriz, a elaboração/definição dos instrumentos de coleta de dados que serão utilizados durante a execução da fiscalização, 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embrando que cada técnica de coleta de dados – entrevista, questionário, grupo focal, observação direta,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etc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– possui um instrumento próprio, a ser desenhado de forma a garantir a obtenção de informações relevantes e suficientes para responder às questões </w:t>
            </w:r>
            <w:r>
              <w:rPr>
                <w:rFonts w:ascii="Arial" w:eastAsia="Arial" w:hAnsi="Arial" w:cs="Arial"/>
                <w:sz w:val="18"/>
                <w:szCs w:val="18"/>
              </w:rPr>
              <w:t>elaboradas pela equipe.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8296D" w:rsidRDefault="00934270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coordenador e o supervisor da equipe de fiscalização precisam verificar se foram consideradas de maneira adequada todas as questões significativas para alcançar os objetivos da fiscalização, permitindo que eles sejam alcançados.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B8296D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296D" w:rsidRDefault="0093427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296D" w:rsidRDefault="0093427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coordenador e o supervisor da equipe de fiscalização precisam verificar se foram considerados de maneira adequada todas as áreas significativas que possam afetar a fiscalização, permitindo que a estratégia seja implementada de forma apropriada para lidar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com os assuntos que provavelmente influenciarão o planejamento e a execução da fiscalização.</w:t>
            </w:r>
          </w:p>
          <w:p w:rsidR="00B8296D" w:rsidRDefault="00B8296D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8296D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296D" w:rsidRDefault="0093427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296D" w:rsidRDefault="00934270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e documentaram a estratégia, bem como seu(s) revisor(es) deverão ser preenchidas ao final. </w:t>
            </w:r>
          </w:p>
        </w:tc>
      </w:tr>
    </w:tbl>
    <w:p w:rsidR="00B8296D" w:rsidRDefault="00B8296D">
      <w:pPr>
        <w:rPr>
          <w:rFonts w:ascii="Arial" w:eastAsia="Arial" w:hAnsi="Arial" w:cs="Arial"/>
          <w:b/>
          <w:sz w:val="22"/>
          <w:szCs w:val="22"/>
        </w:rPr>
      </w:pPr>
    </w:p>
    <w:sectPr w:rsidR="00B8296D">
      <w:pgSz w:w="12240" w:h="15840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34270">
      <w:r>
        <w:separator/>
      </w:r>
    </w:p>
  </w:endnote>
  <w:endnote w:type="continuationSeparator" w:id="0">
    <w:p w:rsidR="00000000" w:rsidRDefault="0093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96D" w:rsidRDefault="00B8296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96D" w:rsidRDefault="00934270">
    <w:pPr>
      <w:widowControl/>
      <w:pBdr>
        <w:top w:val="single" w:sz="4" w:space="1" w:color="BFBFBF"/>
      </w:pBdr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:rsidR="00B8296D" w:rsidRDefault="00934270">
    <w:pPr>
      <w:widowControl/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16"/>
        <w:szCs w:val="16"/>
      </w:rPr>
      <w:t>Telefone/PABX: (62) 3228-2000 – www.tce.go.gov.br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96D" w:rsidRDefault="00B8296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34270">
      <w:r>
        <w:separator/>
      </w:r>
    </w:p>
  </w:footnote>
  <w:footnote w:type="continuationSeparator" w:id="0">
    <w:p w:rsidR="00000000" w:rsidRDefault="00934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96D" w:rsidRDefault="00B8296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96D" w:rsidRDefault="00B8296D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f0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B8296D">
      <w:trPr>
        <w:trHeight w:val="1418"/>
        <w:jc w:val="center"/>
      </w:trPr>
      <w:tc>
        <w:tcPr>
          <w:tcW w:w="3000" w:type="dxa"/>
          <w:vAlign w:val="center"/>
        </w:tcPr>
        <w:p w:rsidR="00B8296D" w:rsidRDefault="00B8296D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</w:p>
      </w:tc>
      <w:tc>
        <w:tcPr>
          <w:tcW w:w="9660" w:type="dxa"/>
          <w:vAlign w:val="center"/>
        </w:tcPr>
        <w:p w:rsidR="00B8296D" w:rsidRDefault="0093427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-1830070</wp:posOffset>
                </wp:positionH>
                <wp:positionV relativeFrom="paragraph">
                  <wp:posOffset>-78105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B8296D" w:rsidRDefault="0093427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B8296D" w:rsidRDefault="0093427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B8296D" w:rsidRDefault="0093427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B8296D" w:rsidRDefault="00B8296D">
    <w:pPr>
      <w:widowControl/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</w:rPr>
    </w:pPr>
  </w:p>
  <w:p w:rsidR="00B8296D" w:rsidRDefault="00B8296D">
    <w:pPr>
      <w:tabs>
        <w:tab w:val="center" w:pos="4702"/>
        <w:tab w:val="right" w:pos="9405"/>
      </w:tabs>
      <w:rPr>
        <w:rFonts w:ascii="Arial" w:eastAsia="Arial" w:hAnsi="Arial" w:cs="Arial"/>
        <w:b/>
        <w:sz w:val="22"/>
        <w:szCs w:val="22"/>
      </w:rPr>
    </w:pPr>
    <w:bookmarkStart w:id="3" w:name="_heading=h.1fob9te" w:colFirst="0" w:colLast="0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96D" w:rsidRDefault="00B8296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96D"/>
    <w:rsid w:val="00934270"/>
    <w:rsid w:val="00B8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ind w:left="720" w:hanging="360"/>
      <w:jc w:val="center"/>
      <w:outlineLvl w:val="0"/>
    </w:pPr>
    <w:rPr>
      <w:b/>
      <w:sz w:val="36"/>
      <w:szCs w:val="36"/>
    </w:rPr>
  </w:style>
  <w:style w:type="paragraph" w:styleId="Ttulo2">
    <w:name w:val="heading 2"/>
    <w:basedOn w:val="Normal"/>
    <w:next w:val="Normal"/>
    <w:pPr>
      <w:keepNext/>
      <w:ind w:left="1440" w:hanging="360"/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pPr>
      <w:keepNext/>
      <w:ind w:left="2160" w:hanging="180"/>
      <w:jc w:val="center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4D34"/>
  </w:style>
  <w:style w:type="paragraph" w:styleId="Rodap">
    <w:name w:val="footer"/>
    <w:basedOn w:val="Normal"/>
    <w:link w:val="Rodap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4D34"/>
  </w:style>
  <w:style w:type="table" w:styleId="Tabelacomgrade">
    <w:name w:val="Table Grid"/>
    <w:basedOn w:val="Tabelanormal"/>
    <w:uiPriority w:val="39"/>
    <w:rsid w:val="000A4D34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482ED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ED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ED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ED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EDE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2ED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2EDE"/>
    <w:rPr>
      <w:rFonts w:ascii="Segoe UI" w:hAnsi="Segoe UI" w:cs="Segoe UI"/>
      <w:sz w:val="18"/>
      <w:szCs w:val="18"/>
    </w:rPr>
  </w:style>
  <w:style w:type="table" w:customStyle="1" w:styleId="a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2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styleId="Hyperlink">
    <w:name w:val="Hyperlink"/>
    <w:basedOn w:val="Fontepargpadro"/>
    <w:uiPriority w:val="99"/>
    <w:semiHidden/>
    <w:unhideWhenUsed/>
    <w:rsid w:val="00D7003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D77E0F"/>
    <w:pPr>
      <w:ind w:left="720"/>
      <w:contextualSpacing/>
    </w:pPr>
  </w:style>
  <w:style w:type="table" w:customStyle="1" w:styleId="af1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4eTmHpM/i7aB18NFklbIi9eWDg==">CgMxLjAaHwoBMBIaChgICVIUChJ0YWJsZS45MHEzbWJ1ejN1ZTcaHwoBMRIaChgICVIUChJ0YWJsZS5mbXJpZjA3YTR2cGkyDmgubGFib3Q5cG1xcG9pMgloLjMwajB6bGwyCWguMWZvYjl0ZTgAciExMm1ERVN5TWtEUjdpd1V0Z0kxelhZUU5JQkd0bHV5bzc=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2917</Words>
  <Characters>15755</Characters>
  <Application>Microsoft Office Word</Application>
  <DocSecurity>0</DocSecurity>
  <Lines>131</Lines>
  <Paragraphs>37</Paragraphs>
  <ScaleCrop>false</ScaleCrop>
  <Company/>
  <LinksUpToDate>false</LinksUpToDate>
  <CharactersWithSpaces>18635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2023-11-27T18:45:00Z</dcterms:created>
  <dcterms:modified xsi:type="dcterms:W3CDTF">2025-07-30T14:07:00Z</dcterms:modified>
</cp:coreProperties>
</file>